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2DBF4" w14:textId="03C01005" w:rsidR="00AB0EA0" w:rsidRPr="00B228F9" w:rsidRDefault="00F938A1">
      <w:pPr>
        <w:rPr>
          <w:b/>
          <w:bCs/>
          <w:sz w:val="28"/>
          <w:szCs w:val="28"/>
        </w:rPr>
      </w:pPr>
      <w:r w:rsidRPr="00B228F9">
        <w:rPr>
          <w:b/>
          <w:bCs/>
          <w:sz w:val="28"/>
          <w:szCs w:val="28"/>
        </w:rPr>
        <w:t>Liste des éléments du plan de mise en œuvre qui nécessite des actions particulières.</w:t>
      </w:r>
      <w:r w:rsidR="00B228F9">
        <w:rPr>
          <w:b/>
          <w:bCs/>
          <w:sz w:val="28"/>
          <w:szCs w:val="28"/>
        </w:rPr>
        <w:t xml:space="preserve">  (Extrait du plan de mise en œuvre)</w:t>
      </w:r>
    </w:p>
    <w:p w14:paraId="494CF3A5" w14:textId="5388EC1D" w:rsidR="00F938A1" w:rsidRDefault="00F938A1">
      <w:r w:rsidRPr="00F938A1">
        <w:rPr>
          <w:highlight w:val="green"/>
        </w:rPr>
        <w:t>Mesures qui dépendent de la mise en place de la nouvelle Loi sur le SPU</w:t>
      </w:r>
    </w:p>
    <w:p w14:paraId="7610132A" w14:textId="61C91626" w:rsidR="00F938A1" w:rsidRPr="00F938A1" w:rsidRDefault="00F938A1" w:rsidP="00F938A1">
      <w:pPr>
        <w:pStyle w:val="prj1"/>
        <w:rPr>
          <w:color w:val="000000"/>
        </w:rPr>
      </w:pPr>
      <w:r w:rsidRPr="00F938A1">
        <w:rPr>
          <w:color w:val="000000"/>
        </w:rPr>
        <w:t>Mobilisation de l'écosystème pour le déploiement des postes de secours</w:t>
      </w:r>
    </w:p>
    <w:p w14:paraId="51243A18" w14:textId="77777777" w:rsidR="00F938A1" w:rsidRPr="00F938A1" w:rsidRDefault="00F938A1" w:rsidP="00F938A1">
      <w:pPr>
        <w:pStyle w:val="prj1"/>
      </w:pPr>
      <w:r w:rsidRPr="00F938A1">
        <w:rPr>
          <w:color w:val="000000"/>
        </w:rPr>
        <w:t>Développement de la structure et construction de la culture de l'organisation nationale</w:t>
      </w:r>
    </w:p>
    <w:p w14:paraId="306F0A24" w14:textId="77777777" w:rsidR="00F938A1" w:rsidRPr="00F938A1" w:rsidRDefault="00F938A1" w:rsidP="00F938A1">
      <w:pPr>
        <w:pStyle w:val="prj1"/>
      </w:pPr>
      <w:r w:rsidRPr="00F938A1">
        <w:rPr>
          <w:color w:val="000000"/>
        </w:rPr>
        <w:t>Établissement des mandats et de la structure hiérarchique pour la mise en place du conseil clinique</w:t>
      </w:r>
    </w:p>
    <w:p w14:paraId="58E6A062" w14:textId="77777777" w:rsidR="00F938A1" w:rsidRPr="00F938A1" w:rsidRDefault="00F938A1" w:rsidP="00F938A1">
      <w:pPr>
        <w:pStyle w:val="prj1"/>
      </w:pPr>
      <w:r w:rsidRPr="00F938A1">
        <w:rPr>
          <w:color w:val="000000"/>
        </w:rPr>
        <w:t>Établissement des mandats et plan de mise en place des comités de mobilisation préhospitalière</w:t>
      </w:r>
    </w:p>
    <w:p w14:paraId="5ACA5A74" w14:textId="4FB59E9A" w:rsidR="00F938A1" w:rsidRPr="00F938A1" w:rsidRDefault="00F938A1" w:rsidP="00F938A1">
      <w:pPr>
        <w:pStyle w:val="prj1"/>
      </w:pPr>
      <w:r w:rsidRPr="00F938A1">
        <w:rPr>
          <w:color w:val="000000"/>
        </w:rPr>
        <w:t>Établissement des mandats et de la structure hiérarchique pour la mise en place du comité des usagers</w:t>
      </w:r>
      <w:r w:rsidR="00B228F9">
        <w:rPr>
          <w:color w:val="000000"/>
        </w:rPr>
        <w:t>.</w:t>
      </w:r>
    </w:p>
    <w:p w14:paraId="661828F7" w14:textId="77777777" w:rsidR="00F938A1" w:rsidRDefault="00F938A1" w:rsidP="00F938A1">
      <w:pPr>
        <w:pStyle w:val="prj1"/>
      </w:pPr>
      <w:r w:rsidRPr="00F938A1">
        <w:rPr>
          <w:color w:val="000000"/>
        </w:rPr>
        <w:t>Prévoir le financement pour l'intégration des CCS et la création de l'organisation nationale</w:t>
      </w:r>
    </w:p>
    <w:p w14:paraId="301D2614" w14:textId="77777777" w:rsidR="00F938A1" w:rsidRDefault="00F938A1" w:rsidP="00F938A1">
      <w:pPr>
        <w:pStyle w:val="prj1"/>
      </w:pPr>
    </w:p>
    <w:p w14:paraId="3740E7A3" w14:textId="3524EEA9" w:rsidR="00F938A1" w:rsidRDefault="00F938A1">
      <w:r>
        <w:t>Mesure qui dépen</w:t>
      </w:r>
      <w:r w:rsidR="005E074D">
        <w:t>d</w:t>
      </w:r>
      <w:r>
        <w:t xml:space="preserve"> de la mise en place d’un ordre professionnel</w:t>
      </w:r>
    </w:p>
    <w:p w14:paraId="60BA7CD5" w14:textId="6D83A4D8" w:rsidR="00B228F9" w:rsidRPr="00B228F9" w:rsidRDefault="00B228F9" w:rsidP="00B228F9">
      <w:pPr>
        <w:pStyle w:val="prj1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57E9C1" wp14:editId="51292AD1">
                <wp:simplePos x="0" y="0"/>
                <wp:positionH relativeFrom="column">
                  <wp:posOffset>-781051</wp:posOffset>
                </wp:positionH>
                <wp:positionV relativeFrom="paragraph">
                  <wp:posOffset>140970</wp:posOffset>
                </wp:positionV>
                <wp:extent cx="571500" cy="1619250"/>
                <wp:effectExtent l="0" t="0" r="38100" b="19050"/>
                <wp:wrapNone/>
                <wp:docPr id="2" name="Flèche : courbe vers la gau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00" cy="161925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8E6E0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Flèche : courbe vers la gauche 2" o:spid="_x0000_s1026" type="#_x0000_t103" style="position:absolute;margin-left:-61.5pt;margin-top:11.1pt;width:45pt;height:127.5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" adj="17788,20647,5400" fillcolor="#4472c4 [3204]" strokecolor="#1f3763 [1604]" strokeweight="1pt"/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4C329" wp14:editId="7953DEF0">
                <wp:simplePos x="0" y="0"/>
                <wp:positionH relativeFrom="column">
                  <wp:posOffset>-781050</wp:posOffset>
                </wp:positionH>
                <wp:positionV relativeFrom="paragraph">
                  <wp:posOffset>140970</wp:posOffset>
                </wp:positionV>
                <wp:extent cx="571500" cy="3952875"/>
                <wp:effectExtent l="0" t="0" r="38100" b="28575"/>
                <wp:wrapNone/>
                <wp:docPr id="1" name="Flèche : courbe vers la gau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00" cy="3952875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45C1F" id="Flèche : courbe vers la gauche 1" o:spid="_x0000_s1026" type="#_x0000_t103" style="position:absolute;margin-left:-61.5pt;margin-top:11.1pt;width:45pt;height:311.2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" adj="20039,21210,5400" fillcolor="#4472c4 [3204]" strokecolor="#1f3763 [1604]" strokeweight="1pt"/>
            </w:pict>
          </mc:Fallback>
        </mc:AlternateContent>
      </w:r>
      <w:r w:rsidRPr="00B228F9">
        <w:rPr>
          <w:color w:val="000000" w:themeColor="text1"/>
        </w:rPr>
        <w:t xml:space="preserve">Définition des encadrements de la diversification des champs et lieux de pratique des PI, PR, RMU, </w:t>
      </w:r>
      <w:r w:rsidRPr="00B228F9">
        <w:rPr>
          <w:b/>
          <w:bCs/>
          <w:color w:val="ED7D31" w:themeColor="accent2"/>
        </w:rPr>
        <w:t>TAP-SA, TAP-SC, TAP-COM</w:t>
      </w:r>
    </w:p>
    <w:p w14:paraId="7DA5A54A" w14:textId="77777777" w:rsidR="00B228F9" w:rsidRDefault="00B228F9"/>
    <w:p w14:paraId="33A9714E" w14:textId="61E4F0BD" w:rsidR="00F938A1" w:rsidRDefault="00B228F9">
      <w:r w:rsidRPr="00B228F9">
        <w:rPr>
          <w:highlight w:val="yellow"/>
        </w:rPr>
        <w:t>Mesure</w:t>
      </w:r>
      <w:r>
        <w:rPr>
          <w:highlight w:val="yellow"/>
        </w:rPr>
        <w:t>s</w:t>
      </w:r>
      <w:r w:rsidRPr="00B228F9">
        <w:rPr>
          <w:highlight w:val="yellow"/>
        </w:rPr>
        <w:t xml:space="preserve"> qui dépende</w:t>
      </w:r>
      <w:r>
        <w:rPr>
          <w:highlight w:val="yellow"/>
        </w:rPr>
        <w:t>nt</w:t>
      </w:r>
      <w:r w:rsidRPr="00B228F9">
        <w:rPr>
          <w:highlight w:val="yellow"/>
        </w:rPr>
        <w:t xml:space="preserve"> des modifications de la législation post-Covid</w:t>
      </w:r>
    </w:p>
    <w:p w14:paraId="183923AB" w14:textId="77777777" w:rsidR="00F938A1" w:rsidRPr="00B228F9" w:rsidRDefault="00F938A1" w:rsidP="00F938A1">
      <w:pPr>
        <w:pStyle w:val="prj1"/>
      </w:pPr>
      <w:r w:rsidRPr="00B228F9">
        <w:rPr>
          <w:color w:val="000000"/>
        </w:rPr>
        <w:t>Appels de projets de paramédecine communautaire</w:t>
      </w:r>
    </w:p>
    <w:p w14:paraId="07959390" w14:textId="77777777" w:rsidR="00F938A1" w:rsidRDefault="00F938A1" w:rsidP="00F938A1">
      <w:pPr>
        <w:pStyle w:val="prj1"/>
      </w:pPr>
      <w:r w:rsidRPr="00B228F9">
        <w:rPr>
          <w:color w:val="000000"/>
        </w:rPr>
        <w:t>Appels de projets de paramédecine de soins avancés</w:t>
      </w:r>
    </w:p>
    <w:p w14:paraId="111A74F8" w14:textId="772F3DAB" w:rsidR="00F938A1" w:rsidRDefault="00B228F9">
      <w:r w:rsidRPr="00B228F9">
        <w:rPr>
          <w:highlight w:val="cyan"/>
        </w:rPr>
        <w:t>Mesures qui dépendent de nouveaux règlements</w:t>
      </w:r>
    </w:p>
    <w:p w14:paraId="08CA416A" w14:textId="553F17F2" w:rsidR="00F938A1" w:rsidRPr="00B228F9" w:rsidRDefault="00F938A1" w:rsidP="00F938A1">
      <w:pPr>
        <w:pStyle w:val="prj1"/>
        <w:rPr>
          <w:color w:val="000000"/>
        </w:rPr>
      </w:pPr>
      <w:r w:rsidRPr="00B228F9">
        <w:rPr>
          <w:color w:val="000000"/>
        </w:rPr>
        <w:t>Élaboration d'une directive sur l'exploitation du transport sanitaire héliporté</w:t>
      </w:r>
      <w:r w:rsidR="00B228F9">
        <w:rPr>
          <w:color w:val="000000"/>
        </w:rPr>
        <w:t>.</w:t>
      </w:r>
    </w:p>
    <w:p w14:paraId="4243B318" w14:textId="31779FED" w:rsidR="00F938A1" w:rsidRPr="00B228F9" w:rsidRDefault="00F938A1" w:rsidP="00F938A1">
      <w:pPr>
        <w:pStyle w:val="prj1"/>
        <w:rPr>
          <w:color w:val="000000"/>
        </w:rPr>
      </w:pPr>
      <w:r w:rsidRPr="00B228F9">
        <w:rPr>
          <w:color w:val="000000"/>
        </w:rPr>
        <w:t>Élaboration d'un guide de référence pour l'utilisation de véhicules de transport allongé non urgent</w:t>
      </w:r>
      <w:r w:rsidR="00B228F9">
        <w:rPr>
          <w:color w:val="000000"/>
        </w:rPr>
        <w:t>.</w:t>
      </w:r>
    </w:p>
    <w:p w14:paraId="767A71EB" w14:textId="05925450" w:rsidR="00F938A1" w:rsidRPr="00B228F9" w:rsidRDefault="00F938A1" w:rsidP="00F938A1">
      <w:pPr>
        <w:pStyle w:val="prj1"/>
        <w:rPr>
          <w:color w:val="000000" w:themeColor="text1"/>
        </w:rPr>
      </w:pPr>
      <w:r w:rsidRPr="00B228F9">
        <w:rPr>
          <w:color w:val="000000"/>
        </w:rPr>
        <w:t>Définition des encadrements des nouvelles spécialisations en regard de la nouvelle desserte (</w:t>
      </w:r>
      <w:proofErr w:type="gramStart"/>
      <w:r w:rsidRPr="00B228F9">
        <w:rPr>
          <w:color w:val="000000"/>
        </w:rPr>
        <w:t>milieu</w:t>
      </w:r>
      <w:proofErr w:type="gramEnd"/>
      <w:r w:rsidRPr="00B228F9">
        <w:rPr>
          <w:color w:val="000000"/>
        </w:rPr>
        <w:t xml:space="preserve"> isolé, bariatrique/soutien technique, tactique, sauvetage en hauteur et espace clos, </w:t>
      </w:r>
      <w:r w:rsidRPr="00B228F9">
        <w:rPr>
          <w:color w:val="000000" w:themeColor="text1"/>
        </w:rPr>
        <w:t>nautique, CBRN, etc.)</w:t>
      </w:r>
      <w:r w:rsidR="00B228F9">
        <w:rPr>
          <w:color w:val="000000" w:themeColor="text1"/>
        </w:rPr>
        <w:t>.</w:t>
      </w:r>
    </w:p>
    <w:p w14:paraId="1E3CB4BE" w14:textId="59B936C9" w:rsidR="00F938A1" w:rsidRPr="00B228F9" w:rsidRDefault="00B228F9" w:rsidP="00B228F9">
      <w:pPr>
        <w:pStyle w:val="prj1"/>
        <w:rPr>
          <w:color w:val="000000" w:themeColor="text1"/>
        </w:rPr>
      </w:pPr>
      <w:r w:rsidRPr="00B228F9">
        <w:rPr>
          <w:color w:val="000000" w:themeColor="text1"/>
        </w:rPr>
        <w:t>Définition des encadrements de la diversification des champs et lieux de pratique des PI, PR, RMU, TAP-SA, TAP-SC, TAP-COM</w:t>
      </w:r>
      <w:r>
        <w:rPr>
          <w:color w:val="000000" w:themeColor="text1"/>
        </w:rPr>
        <w:t>.</w:t>
      </w:r>
    </w:p>
    <w:sectPr w:rsidR="00F938A1" w:rsidRPr="00B228F9" w:rsidSect="00B228F9">
      <w:pgSz w:w="12240" w:h="15840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35DC8" w14:textId="77777777" w:rsidR="00D82863" w:rsidRDefault="00D82863" w:rsidP="00D82863">
      <w:pPr>
        <w:spacing w:after="0" w:line="240" w:lineRule="auto"/>
      </w:pPr>
      <w:r>
        <w:separator/>
      </w:r>
    </w:p>
  </w:endnote>
  <w:endnote w:type="continuationSeparator" w:id="0">
    <w:p w14:paraId="26866F62" w14:textId="77777777" w:rsidR="00D82863" w:rsidRDefault="00D82863" w:rsidP="00D8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1E971" w14:textId="77777777" w:rsidR="00D82863" w:rsidRDefault="00D82863" w:rsidP="00D82863">
      <w:pPr>
        <w:spacing w:after="0" w:line="240" w:lineRule="auto"/>
      </w:pPr>
      <w:r>
        <w:separator/>
      </w:r>
    </w:p>
  </w:footnote>
  <w:footnote w:type="continuationSeparator" w:id="0">
    <w:p w14:paraId="2157921B" w14:textId="77777777" w:rsidR="00D82863" w:rsidRDefault="00D82863" w:rsidP="00D82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8A1"/>
    <w:rsid w:val="005E074D"/>
    <w:rsid w:val="00AB0EA0"/>
    <w:rsid w:val="00B228F9"/>
    <w:rsid w:val="00D82863"/>
    <w:rsid w:val="00F9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071F0"/>
  <w15:chartTrackingRefBased/>
  <w15:docId w15:val="{1F8A3FE6-939B-40D9-8B93-2C7AD63B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j1">
    <w:name w:val="prj1"/>
    <w:basedOn w:val="Normal"/>
    <w:rsid w:val="00F938A1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Calibri Light" w:eastAsia="Times New Roman" w:hAnsi="Calibri Light" w:cs="Calibri Light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A3AD0869CB4E4087867ACAD3913B23" ma:contentTypeVersion="16" ma:contentTypeDescription="Crée un document." ma:contentTypeScope="" ma:versionID="ea870a6a91a3da7923bd9c6a5bd20f8d">
  <xsd:schema xmlns:xsd="http://www.w3.org/2001/XMLSchema" xmlns:xs="http://www.w3.org/2001/XMLSchema" xmlns:p="http://schemas.microsoft.com/office/2006/metadata/properties" xmlns:ns2="5c97113b-33c1-457e-87cb-3317393c6f01" xmlns:ns3="6c5e262f-5724-48d1-b41d-6b2a7ce67efd" targetNamespace="http://schemas.microsoft.com/office/2006/metadata/properties" ma:root="true" ma:fieldsID="17b780bf7a48fa4ad592a1fe566dfeb0" ns2:_="" ns3:_="">
    <xsd:import namespace="5c97113b-33c1-457e-87cb-3317393c6f01"/>
    <xsd:import namespace="6c5e262f-5724-48d1-b41d-6b2a7ce67e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7113b-33c1-457e-87cb-3317393c6f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0125e5a-fbbd-4a39-926c-a359310fd2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e262f-5724-48d1-b41d-6b2a7ce67ef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b857c9b-5eee-48fe-aa52-7d8abff033c6}" ma:internalName="TaxCatchAll" ma:showField="CatchAllData" ma:web="6c5e262f-5724-48d1-b41d-6b2a7ce67e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5e262f-5724-48d1-b41d-6b2a7ce67efd" xsi:nil="true"/>
    <lcf76f155ced4ddcb4097134ff3c332f xmlns="5c97113b-33c1-457e-87cb-3317393c6f0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F6245-435E-4741-8D62-F934B0C4DB4D}"/>
</file>

<file path=customXml/itemProps2.xml><?xml version="1.0" encoding="utf-8"?>
<ds:datastoreItem xmlns:ds="http://schemas.openxmlformats.org/officeDocument/2006/customXml" ds:itemID="{EB887AEE-7F17-4B1B-B890-2DF59A293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21B50F-E4D8-442E-BDAD-73A73FE9DF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Gravel</dc:creator>
  <cp:keywords/>
  <dc:description/>
  <cp:lastModifiedBy>Vincent-Gabriel Langlois</cp:lastModifiedBy>
  <cp:revision>2</cp:revision>
  <dcterms:created xsi:type="dcterms:W3CDTF">2023-01-19T15:51:00Z</dcterms:created>
  <dcterms:modified xsi:type="dcterms:W3CDTF">2023-01-19T15:51:00Z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2021-10-01T02:01:26Z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a84b95bb-1937-4a48-ad7e-bb2069551d79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0x01010042A3AD0869CB4E4087867ACAD3913B23</vt:lpwstr>
  </property>
</Properties>
</file>